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922E3" w14:textId="77777777" w:rsidR="0068689C" w:rsidRPr="00F104F3" w:rsidRDefault="0068689C" w:rsidP="0068689C">
      <w:pPr>
        <w:autoSpaceDE w:val="0"/>
        <w:autoSpaceDN w:val="0"/>
        <w:adjustRightInd w:val="0"/>
        <w:snapToGrid w:val="0"/>
        <w:spacing w:before="2613" w:after="0" w:line="240" w:lineRule="auto"/>
        <w:rPr>
          <w:rFonts w:eastAsia="Times New Roman" w:cstheme="minorHAnsi"/>
          <w:color w:val="000000"/>
          <w:szCs w:val="24"/>
          <w:lang w:val="en-US"/>
        </w:rPr>
      </w:pPr>
      <w:r w:rsidRPr="00F104F3">
        <w:rPr>
          <w:rFonts w:eastAsia="Times New Roman" w:cstheme="minorHAnsi"/>
          <w:color w:val="000000"/>
          <w:szCs w:val="24"/>
          <w:lang w:val="en-US"/>
        </w:rPr>
        <w:t xml:space="preserve">Press release, </w:t>
      </w:r>
      <w:r w:rsidR="009D01A6" w:rsidRPr="00F104F3">
        <w:rPr>
          <w:rFonts w:eastAsia="Times New Roman" w:cstheme="minorHAnsi"/>
          <w:color w:val="000000"/>
          <w:szCs w:val="24"/>
          <w:lang w:val="en-US"/>
        </w:rPr>
        <w:t>Schiphol-</w:t>
      </w:r>
      <w:proofErr w:type="spellStart"/>
      <w:r w:rsidR="009D01A6" w:rsidRPr="00F104F3">
        <w:rPr>
          <w:rFonts w:eastAsia="Times New Roman" w:cstheme="minorHAnsi"/>
          <w:color w:val="000000"/>
          <w:szCs w:val="24"/>
          <w:lang w:val="en-US"/>
        </w:rPr>
        <w:t>Rijk</w:t>
      </w:r>
      <w:proofErr w:type="spellEnd"/>
      <w:r w:rsidR="009D01A6" w:rsidRPr="00F104F3">
        <w:rPr>
          <w:rFonts w:eastAsia="Times New Roman" w:cstheme="minorHAnsi"/>
          <w:color w:val="000000"/>
          <w:szCs w:val="24"/>
          <w:lang w:val="en-US"/>
        </w:rPr>
        <w:t>, Netherlands,</w:t>
      </w:r>
      <w:r w:rsidRPr="00F104F3">
        <w:rPr>
          <w:rFonts w:eastAsia="Times New Roman" w:cstheme="minorHAnsi"/>
          <w:color w:val="000000"/>
          <w:szCs w:val="24"/>
          <w:lang w:val="en-US"/>
        </w:rPr>
        <w:t xml:space="preserve"> </w:t>
      </w:r>
      <w:r w:rsidR="006D7EE2" w:rsidRPr="00F104F3">
        <w:rPr>
          <w:rFonts w:eastAsia="Times New Roman" w:cstheme="minorHAnsi"/>
          <w:color w:val="000000"/>
          <w:szCs w:val="24"/>
          <w:lang w:val="en-US"/>
        </w:rPr>
        <w:t xml:space="preserve">29 November </w:t>
      </w:r>
      <w:r w:rsidRPr="00F104F3">
        <w:rPr>
          <w:rFonts w:eastAsia="Times New Roman" w:cstheme="minorHAnsi"/>
          <w:color w:val="000000"/>
          <w:szCs w:val="24"/>
          <w:lang w:val="en-US"/>
        </w:rPr>
        <w:t>2021</w:t>
      </w:r>
    </w:p>
    <w:p w14:paraId="00EC4A84" w14:textId="38B54E12" w:rsidR="0068689C" w:rsidRPr="00F104F3" w:rsidRDefault="006D7EE2" w:rsidP="0068689C">
      <w:pPr>
        <w:autoSpaceDE w:val="0"/>
        <w:autoSpaceDN w:val="0"/>
        <w:adjustRightInd w:val="0"/>
        <w:snapToGrid w:val="0"/>
        <w:spacing w:before="367" w:after="0" w:line="242" w:lineRule="auto"/>
        <w:jc w:val="both"/>
        <w:rPr>
          <w:rFonts w:eastAsia="Times New Roman" w:cstheme="minorHAnsi"/>
          <w:b/>
          <w:color w:val="000000"/>
          <w:sz w:val="28"/>
          <w:szCs w:val="24"/>
          <w:lang w:val="en-US"/>
        </w:rPr>
      </w:pPr>
      <w:r w:rsidRPr="00F104F3">
        <w:rPr>
          <w:rFonts w:eastAsia="Times New Roman" w:cstheme="minorHAnsi"/>
          <w:b/>
          <w:color w:val="000000"/>
          <w:spacing w:val="-1"/>
          <w:sz w:val="28"/>
          <w:szCs w:val="24"/>
          <w:lang w:val="en-US"/>
        </w:rPr>
        <w:t xml:space="preserve">Azerion Holding B.V. </w:t>
      </w:r>
      <w:r w:rsidR="0068689C" w:rsidRPr="00F104F3">
        <w:rPr>
          <w:rFonts w:eastAsia="Times New Roman" w:cstheme="minorHAnsi"/>
          <w:b/>
          <w:color w:val="000000"/>
          <w:spacing w:val="-2"/>
          <w:sz w:val="28"/>
          <w:szCs w:val="24"/>
          <w:lang w:val="en-US"/>
        </w:rPr>
        <w:t>–</w:t>
      </w:r>
      <w:r w:rsidR="0068689C" w:rsidRPr="00F104F3">
        <w:rPr>
          <w:rFonts w:eastAsia="Times New Roman" w:cstheme="minorHAnsi"/>
          <w:b/>
          <w:color w:val="000000"/>
          <w:spacing w:val="-3"/>
          <w:sz w:val="28"/>
          <w:szCs w:val="24"/>
          <w:lang w:val="en-US"/>
        </w:rPr>
        <w:t xml:space="preserve"> </w:t>
      </w:r>
      <w:r w:rsidR="0068689C" w:rsidRPr="00F104F3">
        <w:rPr>
          <w:rFonts w:eastAsia="Times New Roman" w:cstheme="minorHAnsi"/>
          <w:b/>
          <w:color w:val="000000"/>
          <w:spacing w:val="-2"/>
          <w:sz w:val="28"/>
          <w:szCs w:val="24"/>
          <w:lang w:val="en-US"/>
        </w:rPr>
        <w:t>D</w:t>
      </w:r>
      <w:r w:rsidR="0068689C" w:rsidRPr="00F104F3">
        <w:rPr>
          <w:rFonts w:eastAsia="Times New Roman" w:cstheme="minorHAnsi"/>
          <w:b/>
          <w:color w:val="000000"/>
          <w:spacing w:val="-1"/>
          <w:sz w:val="28"/>
          <w:szCs w:val="24"/>
          <w:lang w:val="en-US"/>
        </w:rPr>
        <w:t>elayed</w:t>
      </w:r>
      <w:r w:rsidR="0068689C" w:rsidRPr="00F104F3">
        <w:rPr>
          <w:rFonts w:eastAsia="Times New Roman" w:cstheme="minorHAnsi"/>
          <w:b/>
          <w:color w:val="000000"/>
          <w:spacing w:val="-2"/>
          <w:sz w:val="28"/>
          <w:szCs w:val="24"/>
          <w:lang w:val="en-US"/>
        </w:rPr>
        <w:t xml:space="preserve"> </w:t>
      </w:r>
      <w:r w:rsidR="0068689C" w:rsidRPr="00F104F3">
        <w:rPr>
          <w:rFonts w:eastAsia="Times New Roman" w:cstheme="minorHAnsi"/>
          <w:b/>
          <w:color w:val="000000"/>
          <w:spacing w:val="-3"/>
          <w:sz w:val="28"/>
          <w:szCs w:val="24"/>
          <w:lang w:val="en-US"/>
        </w:rPr>
        <w:t>p</w:t>
      </w:r>
      <w:r w:rsidR="0068689C" w:rsidRPr="00F104F3">
        <w:rPr>
          <w:rFonts w:eastAsia="Times New Roman" w:cstheme="minorHAnsi"/>
          <w:b/>
          <w:color w:val="000000"/>
          <w:spacing w:val="-1"/>
          <w:sz w:val="28"/>
          <w:szCs w:val="24"/>
          <w:lang w:val="en-US"/>
        </w:rPr>
        <w:t>ublication</w:t>
      </w:r>
      <w:r w:rsidR="0068689C" w:rsidRPr="00F104F3">
        <w:rPr>
          <w:rFonts w:eastAsia="Times New Roman" w:cstheme="minorHAnsi"/>
          <w:b/>
          <w:color w:val="000000"/>
          <w:spacing w:val="-4"/>
          <w:sz w:val="28"/>
          <w:szCs w:val="24"/>
          <w:lang w:val="en-US"/>
        </w:rPr>
        <w:t xml:space="preserve"> </w:t>
      </w:r>
      <w:r w:rsidR="0068689C" w:rsidRPr="00F104F3">
        <w:rPr>
          <w:rFonts w:eastAsia="Times New Roman" w:cstheme="minorHAnsi"/>
          <w:b/>
          <w:color w:val="000000"/>
          <w:spacing w:val="-1"/>
          <w:sz w:val="28"/>
          <w:szCs w:val="24"/>
          <w:lang w:val="en-US"/>
        </w:rPr>
        <w:t>of audited</w:t>
      </w:r>
      <w:r w:rsidR="0068689C" w:rsidRPr="00F104F3">
        <w:rPr>
          <w:rFonts w:eastAsia="Times New Roman" w:cstheme="minorHAnsi"/>
          <w:b/>
          <w:color w:val="000000"/>
          <w:spacing w:val="-3"/>
          <w:sz w:val="28"/>
          <w:szCs w:val="24"/>
          <w:lang w:val="en-US"/>
        </w:rPr>
        <w:t xml:space="preserve"> c</w:t>
      </w:r>
      <w:r w:rsidR="0068689C" w:rsidRPr="00F104F3">
        <w:rPr>
          <w:rFonts w:eastAsia="Times New Roman" w:cstheme="minorHAnsi"/>
          <w:b/>
          <w:color w:val="000000"/>
          <w:spacing w:val="-1"/>
          <w:sz w:val="28"/>
          <w:szCs w:val="24"/>
          <w:lang w:val="en-US"/>
        </w:rPr>
        <w:t>onsoli</w:t>
      </w:r>
      <w:r w:rsidR="0068689C" w:rsidRPr="00F104F3">
        <w:rPr>
          <w:rFonts w:eastAsia="Times New Roman" w:cstheme="minorHAnsi"/>
          <w:b/>
          <w:color w:val="000000"/>
          <w:sz w:val="28"/>
          <w:szCs w:val="24"/>
          <w:lang w:val="en-US"/>
        </w:rPr>
        <w:t>dated annual financial statement</w:t>
      </w:r>
      <w:r w:rsidR="00541D34" w:rsidRPr="00F104F3">
        <w:rPr>
          <w:rFonts w:eastAsia="Times New Roman" w:cstheme="minorHAnsi"/>
          <w:b/>
          <w:color w:val="000000"/>
          <w:sz w:val="28"/>
          <w:szCs w:val="24"/>
          <w:lang w:val="en-US"/>
        </w:rPr>
        <w:t>s under its bond</w:t>
      </w:r>
      <w:r w:rsidR="00F104F3" w:rsidRPr="00F104F3">
        <w:rPr>
          <w:rFonts w:eastAsia="Times New Roman" w:cstheme="minorHAnsi"/>
          <w:b/>
          <w:color w:val="000000"/>
          <w:sz w:val="28"/>
          <w:szCs w:val="24"/>
          <w:lang w:val="en-US"/>
        </w:rPr>
        <w:t>s</w:t>
      </w:r>
      <w:r w:rsidR="00541D34" w:rsidRPr="00F104F3">
        <w:rPr>
          <w:rFonts w:eastAsia="Times New Roman" w:cstheme="minorHAnsi"/>
          <w:b/>
          <w:color w:val="000000"/>
          <w:sz w:val="28"/>
          <w:szCs w:val="24"/>
          <w:lang w:val="en-US"/>
        </w:rPr>
        <w:t xml:space="preserve"> </w:t>
      </w:r>
      <w:r w:rsidR="00F104F3" w:rsidRPr="00F104F3">
        <w:rPr>
          <w:rFonts w:eastAsia="Times New Roman" w:cstheme="minorHAnsi"/>
          <w:b/>
          <w:color w:val="000000"/>
          <w:sz w:val="28"/>
          <w:szCs w:val="24"/>
          <w:lang w:val="en-US"/>
        </w:rPr>
        <w:t>(</w:t>
      </w:r>
      <w:r w:rsidR="00541D34" w:rsidRPr="00F104F3">
        <w:rPr>
          <w:rFonts w:eastAsia="Times New Roman" w:cstheme="minorHAnsi"/>
          <w:b/>
          <w:color w:val="000000"/>
          <w:sz w:val="28"/>
          <w:szCs w:val="24"/>
          <w:lang w:val="en-US"/>
        </w:rPr>
        <w:t>ISIN SE0015837794</w:t>
      </w:r>
      <w:r w:rsidR="00F104F3" w:rsidRPr="00F104F3">
        <w:rPr>
          <w:rFonts w:eastAsia="Times New Roman" w:cstheme="minorHAnsi"/>
          <w:b/>
          <w:color w:val="000000"/>
          <w:sz w:val="28"/>
          <w:szCs w:val="24"/>
          <w:lang w:val="en-US"/>
        </w:rPr>
        <w:t>)</w:t>
      </w:r>
    </w:p>
    <w:p w14:paraId="03F35ABC" w14:textId="507F6029" w:rsidR="009955BC" w:rsidRDefault="009955BC" w:rsidP="0025020C">
      <w:pPr>
        <w:autoSpaceDE w:val="0"/>
        <w:autoSpaceDN w:val="0"/>
        <w:adjustRightInd w:val="0"/>
        <w:snapToGrid w:val="0"/>
        <w:spacing w:before="489" w:after="0" w:line="276" w:lineRule="auto"/>
        <w:jc w:val="both"/>
        <w:rPr>
          <w:rFonts w:eastAsia="Times New Roman" w:cstheme="minorHAnsi"/>
          <w:color w:val="000000"/>
          <w:szCs w:val="24"/>
          <w:lang w:val="en-US"/>
        </w:rPr>
      </w:pPr>
      <w:r>
        <w:rPr>
          <w:rFonts w:eastAsia="Times New Roman" w:cstheme="minorHAnsi"/>
          <w:color w:val="000000"/>
          <w:szCs w:val="24"/>
          <w:lang w:val="en-US"/>
        </w:rPr>
        <w:t>Azerion Holding B.V.'s (the "</w:t>
      </w:r>
      <w:r w:rsidRPr="00EA0D41">
        <w:rPr>
          <w:rFonts w:eastAsia="Times New Roman" w:cstheme="minorHAnsi"/>
          <w:b/>
          <w:color w:val="000000"/>
          <w:szCs w:val="24"/>
          <w:lang w:val="en-US"/>
        </w:rPr>
        <w:t>Issuer</w:t>
      </w:r>
      <w:r>
        <w:rPr>
          <w:rFonts w:eastAsia="Times New Roman" w:cstheme="minorHAnsi"/>
          <w:color w:val="000000"/>
          <w:szCs w:val="24"/>
          <w:lang w:val="en-US"/>
        </w:rPr>
        <w:t xml:space="preserve">") publication of its </w:t>
      </w:r>
      <w:r w:rsidRPr="00F104F3">
        <w:rPr>
          <w:rFonts w:eastAsia="Times New Roman" w:cstheme="minorHAnsi"/>
          <w:color w:val="000000"/>
          <w:szCs w:val="24"/>
          <w:lang w:val="en-US"/>
        </w:rPr>
        <w:t xml:space="preserve">audited consolidated </w:t>
      </w:r>
      <w:r>
        <w:rPr>
          <w:rFonts w:eastAsia="Times New Roman" w:cstheme="minorHAnsi"/>
          <w:color w:val="000000"/>
          <w:szCs w:val="24"/>
          <w:lang w:val="en-US"/>
        </w:rPr>
        <w:t xml:space="preserve">annual </w:t>
      </w:r>
      <w:r w:rsidRPr="00F104F3">
        <w:rPr>
          <w:rFonts w:eastAsia="Times New Roman" w:cstheme="minorHAnsi"/>
          <w:color w:val="000000"/>
          <w:szCs w:val="24"/>
          <w:lang w:val="en-US"/>
        </w:rPr>
        <w:t>financial statements for the financial year ended 31 December 2020 (the "</w:t>
      </w:r>
      <w:r w:rsidRPr="00F104F3">
        <w:rPr>
          <w:rFonts w:eastAsia="Times New Roman" w:cstheme="minorHAnsi"/>
          <w:b/>
          <w:color w:val="000000"/>
          <w:szCs w:val="24"/>
          <w:lang w:val="en-US"/>
        </w:rPr>
        <w:t>Financial Statements</w:t>
      </w:r>
      <w:r w:rsidRPr="00F104F3">
        <w:rPr>
          <w:rFonts w:eastAsia="Times New Roman" w:cstheme="minorHAnsi"/>
          <w:color w:val="000000"/>
          <w:szCs w:val="24"/>
          <w:lang w:val="en-US"/>
        </w:rPr>
        <w:t>")</w:t>
      </w:r>
      <w:r>
        <w:rPr>
          <w:rFonts w:eastAsia="Times New Roman" w:cstheme="minorHAnsi"/>
          <w:color w:val="000000"/>
          <w:szCs w:val="24"/>
          <w:lang w:val="en-US"/>
        </w:rPr>
        <w:t xml:space="preserve">, </w:t>
      </w:r>
      <w:r w:rsidRPr="00D61979">
        <w:rPr>
          <w:rFonts w:ascii="Calibri" w:eastAsia="Times New Roman" w:hAnsi="Calibri" w:cs="Calibri"/>
          <w:color w:val="000000"/>
          <w:szCs w:val="24"/>
          <w:lang w:val="en-US"/>
        </w:rPr>
        <w:t>which were</w:t>
      </w:r>
      <w:r>
        <w:rPr>
          <w:rFonts w:ascii="Calibri" w:eastAsia="Times New Roman" w:hAnsi="Calibri" w:cs="Calibri"/>
          <w:color w:val="000000"/>
          <w:szCs w:val="24"/>
          <w:lang w:val="en-US"/>
        </w:rPr>
        <w:t xml:space="preserve"> required</w:t>
      </w:r>
      <w:r w:rsidRPr="00D61979">
        <w:rPr>
          <w:rFonts w:ascii="Calibri" w:eastAsia="Times New Roman" w:hAnsi="Calibri" w:cs="Calibri"/>
          <w:color w:val="000000"/>
          <w:szCs w:val="24"/>
          <w:lang w:val="en-US"/>
        </w:rPr>
        <w:t xml:space="preserve"> to be published and made available no later than </w:t>
      </w:r>
      <w:r>
        <w:rPr>
          <w:rFonts w:ascii="Calibri" w:eastAsia="Times New Roman" w:hAnsi="Calibri" w:cs="Calibri"/>
          <w:color w:val="000000"/>
          <w:szCs w:val="24"/>
          <w:lang w:val="en-US"/>
        </w:rPr>
        <w:t>31</w:t>
      </w:r>
      <w:r w:rsidRPr="00D61979">
        <w:rPr>
          <w:rFonts w:ascii="Calibri" w:eastAsia="Times New Roman" w:hAnsi="Calibri" w:cs="Calibri"/>
          <w:color w:val="000000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color w:val="000000"/>
          <w:szCs w:val="24"/>
          <w:lang w:val="en-US"/>
        </w:rPr>
        <w:t>October</w:t>
      </w:r>
      <w:r w:rsidRPr="00D61979">
        <w:rPr>
          <w:rFonts w:ascii="Calibri" w:eastAsia="Times New Roman" w:hAnsi="Calibri" w:cs="Calibri"/>
          <w:color w:val="000000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color w:val="000000"/>
          <w:szCs w:val="24"/>
          <w:lang w:val="en-US"/>
        </w:rPr>
        <w:t>2021</w:t>
      </w:r>
      <w:r w:rsidRPr="00D61979">
        <w:rPr>
          <w:rFonts w:ascii="Calibri" w:eastAsia="Times New Roman" w:hAnsi="Calibri" w:cs="Calibri"/>
          <w:color w:val="000000"/>
          <w:szCs w:val="24"/>
          <w:lang w:val="en-US"/>
        </w:rPr>
        <w:t xml:space="preserve"> pursuant to</w:t>
      </w:r>
      <w:r>
        <w:rPr>
          <w:rFonts w:ascii="Calibri" w:eastAsia="Times New Roman" w:hAnsi="Calibri" w:cs="Calibri"/>
          <w:color w:val="000000"/>
          <w:szCs w:val="24"/>
          <w:lang w:val="en-US"/>
        </w:rPr>
        <w:t xml:space="preserve"> Clause 11.1(a)(iv) of</w:t>
      </w:r>
      <w:r w:rsidRPr="00D61979">
        <w:rPr>
          <w:rFonts w:ascii="Calibri" w:eastAsia="Times New Roman" w:hAnsi="Calibri" w:cs="Calibri"/>
          <w:color w:val="000000"/>
          <w:szCs w:val="24"/>
          <w:lang w:val="en-US"/>
        </w:rPr>
        <w:t xml:space="preserve"> the terms and conditions of its outstanding up to </w:t>
      </w:r>
      <w:r>
        <w:rPr>
          <w:rFonts w:ascii="Calibri" w:eastAsia="Times New Roman" w:hAnsi="Calibri" w:cs="Calibri"/>
          <w:color w:val="000000"/>
          <w:szCs w:val="24"/>
          <w:lang w:val="en-US"/>
        </w:rPr>
        <w:t>EUR</w:t>
      </w:r>
      <w:r w:rsidRPr="00D61979">
        <w:rPr>
          <w:rFonts w:ascii="Calibri" w:eastAsia="Times New Roman" w:hAnsi="Calibri" w:cs="Calibri"/>
          <w:color w:val="000000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color w:val="000000"/>
          <w:szCs w:val="24"/>
          <w:lang w:val="en-US"/>
        </w:rPr>
        <w:t>3</w:t>
      </w:r>
      <w:r w:rsidRPr="00D61979">
        <w:rPr>
          <w:rFonts w:ascii="Calibri" w:eastAsia="Times New Roman" w:hAnsi="Calibri" w:cs="Calibri"/>
          <w:color w:val="000000"/>
          <w:szCs w:val="24"/>
          <w:lang w:val="en-US"/>
        </w:rPr>
        <w:t xml:space="preserve">00,000,000 senior secured </w:t>
      </w:r>
      <w:r>
        <w:rPr>
          <w:rFonts w:ascii="Calibri" w:eastAsia="Times New Roman" w:hAnsi="Calibri" w:cs="Calibri"/>
          <w:color w:val="000000"/>
          <w:szCs w:val="24"/>
          <w:lang w:val="en-US"/>
        </w:rPr>
        <w:t>callable fixed rate bonds</w:t>
      </w:r>
      <w:r w:rsidRPr="00D61979">
        <w:rPr>
          <w:rFonts w:ascii="Calibri" w:eastAsia="Times New Roman" w:hAnsi="Calibri" w:cs="Calibri"/>
          <w:color w:val="000000"/>
          <w:szCs w:val="24"/>
          <w:lang w:val="en-US"/>
        </w:rPr>
        <w:t xml:space="preserve"> (ISIN </w:t>
      </w:r>
      <w:r w:rsidRPr="00D90483">
        <w:t>SE0015837794</w:t>
      </w:r>
      <w:r w:rsidRPr="00D61979">
        <w:rPr>
          <w:rFonts w:ascii="Calibri" w:eastAsia="Times New Roman" w:hAnsi="Calibri" w:cs="Calibri"/>
          <w:color w:val="000000"/>
          <w:szCs w:val="24"/>
          <w:lang w:val="en-US"/>
        </w:rPr>
        <w:t>)</w:t>
      </w:r>
      <w:r>
        <w:rPr>
          <w:rFonts w:ascii="Calibri" w:eastAsia="Times New Roman" w:hAnsi="Calibri" w:cs="Calibri"/>
          <w:color w:val="000000"/>
          <w:szCs w:val="24"/>
          <w:lang w:val="en-US"/>
        </w:rPr>
        <w:t xml:space="preserve"> (the "</w:t>
      </w:r>
      <w:r>
        <w:rPr>
          <w:rFonts w:ascii="Calibri" w:eastAsia="Times New Roman" w:hAnsi="Calibri" w:cs="Calibri"/>
          <w:b/>
          <w:color w:val="000000"/>
          <w:szCs w:val="24"/>
          <w:lang w:val="en-US"/>
        </w:rPr>
        <w:t>Terms and Conditions</w:t>
      </w:r>
      <w:r>
        <w:rPr>
          <w:rFonts w:ascii="Calibri" w:eastAsia="Times New Roman" w:hAnsi="Calibri" w:cs="Calibri"/>
          <w:color w:val="000000"/>
          <w:szCs w:val="24"/>
          <w:lang w:val="en-US"/>
        </w:rPr>
        <w:t>"), has been delayed. The Issuer is consequently in breach of the undertaking in Clause 11.1(a)(iv), and the remedy period for such breach as provided for in Clause 14.3 (</w:t>
      </w:r>
      <w:r>
        <w:rPr>
          <w:rFonts w:ascii="Calibri" w:eastAsia="Times New Roman" w:hAnsi="Calibri" w:cs="Calibri"/>
          <w:i/>
          <w:color w:val="000000"/>
          <w:szCs w:val="24"/>
          <w:lang w:val="en-US"/>
        </w:rPr>
        <w:t>Other Obligations</w:t>
      </w:r>
      <w:r>
        <w:rPr>
          <w:rFonts w:ascii="Calibri" w:eastAsia="Times New Roman" w:hAnsi="Calibri" w:cs="Calibri"/>
          <w:color w:val="000000"/>
          <w:szCs w:val="24"/>
          <w:lang w:val="en-US"/>
        </w:rPr>
        <w:t>) expired on 26 November 2021. Consequently, an Event of Default has occurred in relation to the aforementioned provisions under the Terms and Conditions.</w:t>
      </w:r>
    </w:p>
    <w:p w14:paraId="29EC9B4B" w14:textId="0BF172CE" w:rsidR="0030553E" w:rsidRPr="00F104F3" w:rsidRDefault="0018138A" w:rsidP="0030553E">
      <w:pPr>
        <w:autoSpaceDE w:val="0"/>
        <w:autoSpaceDN w:val="0"/>
        <w:adjustRightInd w:val="0"/>
        <w:snapToGrid w:val="0"/>
        <w:spacing w:before="240" w:after="0" w:line="276" w:lineRule="auto"/>
        <w:jc w:val="both"/>
        <w:rPr>
          <w:rFonts w:eastAsia="Times New Roman" w:cstheme="minorHAnsi"/>
          <w:color w:val="000000"/>
          <w:szCs w:val="24"/>
          <w:lang w:val="en-US"/>
        </w:rPr>
      </w:pPr>
      <w:r>
        <w:rPr>
          <w:color w:val="000000"/>
          <w:lang w:val="en-US"/>
        </w:rPr>
        <w:t xml:space="preserve">The Issuer is close to finalizing the Financial Statements and therefore expects to publish the Financial Statements within a very short time and the Event of Default </w:t>
      </w:r>
      <w:r>
        <w:rPr>
          <w:lang w:val="en-US"/>
        </w:rPr>
        <w:t>will have been remedied immediately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color w:val="000000"/>
          <w:lang w:val="en-US"/>
        </w:rPr>
        <w:t xml:space="preserve">upon such publication </w:t>
      </w:r>
      <w:r>
        <w:rPr>
          <w:lang w:val="en-US"/>
        </w:rPr>
        <w:t>(and, for the avoidance of doubt, no further or other Event of Default will be outstanding)</w:t>
      </w:r>
      <w:r>
        <w:rPr>
          <w:color w:val="000000"/>
          <w:lang w:val="en-US"/>
        </w:rPr>
        <w:t>.</w:t>
      </w:r>
      <w:bookmarkStart w:id="0" w:name="_GoBack"/>
      <w:bookmarkEnd w:id="0"/>
    </w:p>
    <w:p w14:paraId="750E45AC" w14:textId="77777777" w:rsidR="0030553E" w:rsidRDefault="0030553E" w:rsidP="0025020C">
      <w:pPr>
        <w:autoSpaceDE w:val="0"/>
        <w:autoSpaceDN w:val="0"/>
        <w:adjustRightInd w:val="0"/>
        <w:snapToGrid w:val="0"/>
        <w:spacing w:before="122" w:after="0" w:line="239" w:lineRule="auto"/>
        <w:jc w:val="both"/>
        <w:rPr>
          <w:rFonts w:ascii="Calibri" w:eastAsia="Times New Roman" w:hAnsi="Calibri" w:cs="Calibri"/>
          <w:color w:val="000000"/>
          <w:szCs w:val="24"/>
          <w:lang w:val="en-US"/>
        </w:rPr>
      </w:pPr>
    </w:p>
    <w:p w14:paraId="3F93C598" w14:textId="77777777" w:rsidR="0068689C" w:rsidRPr="0030553E" w:rsidRDefault="0068689C" w:rsidP="0025020C">
      <w:pPr>
        <w:autoSpaceDE w:val="0"/>
        <w:autoSpaceDN w:val="0"/>
        <w:adjustRightInd w:val="0"/>
        <w:snapToGrid w:val="0"/>
        <w:spacing w:before="122" w:after="0" w:line="239" w:lineRule="auto"/>
        <w:jc w:val="both"/>
        <w:rPr>
          <w:rFonts w:eastAsia="Times New Roman" w:cstheme="minorHAnsi"/>
          <w:i/>
          <w:color w:val="000000"/>
          <w:szCs w:val="24"/>
          <w:lang w:val="en-US"/>
        </w:rPr>
      </w:pPr>
      <w:r w:rsidRPr="0030553E">
        <w:rPr>
          <w:rFonts w:eastAsia="Times New Roman" w:cstheme="minorHAnsi"/>
          <w:i/>
          <w:color w:val="000000"/>
          <w:szCs w:val="24"/>
          <w:lang w:val="en-US"/>
        </w:rPr>
        <w:t>For further information, please contact:</w:t>
      </w:r>
    </w:p>
    <w:p w14:paraId="23101BE2" w14:textId="77777777" w:rsidR="0068689C" w:rsidRPr="0030553E" w:rsidRDefault="00571339" w:rsidP="0068689C">
      <w:pPr>
        <w:autoSpaceDE w:val="0"/>
        <w:autoSpaceDN w:val="0"/>
        <w:adjustRightInd w:val="0"/>
        <w:snapToGrid w:val="0"/>
        <w:spacing w:after="0" w:line="239" w:lineRule="auto"/>
        <w:rPr>
          <w:rFonts w:eastAsia="Times New Roman" w:cstheme="minorHAnsi"/>
          <w:color w:val="000000"/>
          <w:szCs w:val="24"/>
          <w:lang w:val="en-US"/>
        </w:rPr>
      </w:pPr>
      <w:r w:rsidRPr="0030553E">
        <w:rPr>
          <w:rFonts w:eastAsia="Times New Roman" w:cstheme="minorHAnsi"/>
          <w:color w:val="000000"/>
          <w:szCs w:val="24"/>
          <w:lang w:val="en-US"/>
        </w:rPr>
        <w:t>Joost Merks</w:t>
      </w:r>
      <w:r w:rsidR="0068689C" w:rsidRPr="0030553E">
        <w:rPr>
          <w:rFonts w:eastAsia="Times New Roman" w:cstheme="minorHAnsi"/>
          <w:color w:val="000000"/>
          <w:szCs w:val="24"/>
          <w:lang w:val="en-US"/>
        </w:rPr>
        <w:t xml:space="preserve">, </w:t>
      </w:r>
      <w:r w:rsidRPr="0030553E">
        <w:rPr>
          <w:rFonts w:eastAsia="Times New Roman" w:cstheme="minorHAnsi"/>
          <w:color w:val="000000"/>
          <w:szCs w:val="24"/>
          <w:lang w:val="en-US"/>
        </w:rPr>
        <w:t>Chief Investment Officer</w:t>
      </w:r>
    </w:p>
    <w:p w14:paraId="3C0A6167" w14:textId="77777777" w:rsidR="0068689C" w:rsidRPr="0030553E" w:rsidRDefault="0068689C" w:rsidP="0068689C">
      <w:pPr>
        <w:autoSpaceDE w:val="0"/>
        <w:autoSpaceDN w:val="0"/>
        <w:adjustRightInd w:val="0"/>
        <w:snapToGrid w:val="0"/>
        <w:spacing w:before="2" w:after="0" w:line="239" w:lineRule="auto"/>
        <w:rPr>
          <w:rFonts w:eastAsia="Times New Roman" w:cstheme="minorHAnsi"/>
          <w:color w:val="000000"/>
          <w:szCs w:val="24"/>
          <w:lang w:val="en-US"/>
        </w:rPr>
      </w:pPr>
      <w:r w:rsidRPr="0030553E">
        <w:rPr>
          <w:rFonts w:eastAsia="Times New Roman" w:cstheme="minorHAnsi"/>
          <w:color w:val="000000"/>
          <w:szCs w:val="24"/>
          <w:lang w:val="en-US"/>
        </w:rPr>
        <w:t>Te</w:t>
      </w:r>
      <w:r w:rsidRPr="0030553E">
        <w:rPr>
          <w:rFonts w:eastAsia="Times New Roman" w:cstheme="minorHAnsi"/>
          <w:color w:val="000000"/>
          <w:spacing w:val="1"/>
          <w:szCs w:val="24"/>
          <w:lang w:val="en-US"/>
        </w:rPr>
        <w:t>l</w:t>
      </w:r>
      <w:r w:rsidRPr="0030553E">
        <w:rPr>
          <w:rFonts w:eastAsia="Times New Roman" w:cstheme="minorHAnsi"/>
          <w:color w:val="000000"/>
          <w:szCs w:val="24"/>
          <w:lang w:val="en-US"/>
        </w:rPr>
        <w:t>ep</w:t>
      </w:r>
      <w:r w:rsidRPr="0030553E">
        <w:rPr>
          <w:rFonts w:eastAsia="Times New Roman" w:cstheme="minorHAnsi"/>
          <w:color w:val="000000"/>
          <w:spacing w:val="-2"/>
          <w:szCs w:val="24"/>
          <w:lang w:val="en-US"/>
        </w:rPr>
        <w:t>h</w:t>
      </w:r>
      <w:r w:rsidRPr="0030553E">
        <w:rPr>
          <w:rFonts w:eastAsia="Times New Roman" w:cstheme="minorHAnsi"/>
          <w:color w:val="000000"/>
          <w:szCs w:val="24"/>
          <w:lang w:val="en-US"/>
        </w:rPr>
        <w:t>on</w:t>
      </w:r>
      <w:r w:rsidRPr="0030553E">
        <w:rPr>
          <w:rFonts w:eastAsia="Times New Roman" w:cstheme="minorHAnsi"/>
          <w:color w:val="000000"/>
          <w:spacing w:val="-2"/>
          <w:szCs w:val="24"/>
          <w:lang w:val="en-US"/>
        </w:rPr>
        <w:t>e</w:t>
      </w:r>
      <w:r w:rsidRPr="0030553E">
        <w:rPr>
          <w:rFonts w:eastAsia="Times New Roman" w:cstheme="minorHAnsi"/>
          <w:color w:val="000000"/>
          <w:szCs w:val="24"/>
          <w:lang w:val="en-US"/>
        </w:rPr>
        <w:t xml:space="preserve">: </w:t>
      </w:r>
      <w:r w:rsidR="00571339" w:rsidRPr="0030553E">
        <w:rPr>
          <w:rFonts w:eastAsia="Times New Roman" w:cstheme="minorHAnsi"/>
          <w:color w:val="000000"/>
          <w:szCs w:val="24"/>
          <w:lang w:val="en-US"/>
        </w:rPr>
        <w:t>+ 31 (0)20 760 20 40</w:t>
      </w:r>
    </w:p>
    <w:p w14:paraId="75477E03" w14:textId="77777777" w:rsidR="0068689C" w:rsidRPr="0030553E" w:rsidRDefault="0068689C" w:rsidP="0068689C">
      <w:pPr>
        <w:autoSpaceDE w:val="0"/>
        <w:autoSpaceDN w:val="0"/>
        <w:adjustRightInd w:val="0"/>
        <w:snapToGrid w:val="0"/>
        <w:spacing w:after="0" w:line="239" w:lineRule="auto"/>
        <w:rPr>
          <w:rFonts w:eastAsia="Times New Roman" w:cstheme="minorHAnsi"/>
          <w:color w:val="000000"/>
          <w:szCs w:val="24"/>
          <w:lang w:val="en-US"/>
        </w:rPr>
      </w:pPr>
      <w:r w:rsidRPr="0030553E">
        <w:rPr>
          <w:rFonts w:eastAsia="Times New Roman" w:cstheme="minorHAnsi"/>
          <w:color w:val="000000"/>
          <w:szCs w:val="24"/>
          <w:lang w:val="en-US"/>
        </w:rPr>
        <w:t xml:space="preserve">Email: </w:t>
      </w:r>
      <w:r w:rsidR="00571339" w:rsidRPr="0030553E">
        <w:rPr>
          <w:rFonts w:eastAsia="Times New Roman" w:cstheme="minorHAnsi"/>
          <w:color w:val="000000"/>
          <w:szCs w:val="24"/>
          <w:lang w:val="en-US"/>
        </w:rPr>
        <w:t>j.merks@azerion.com</w:t>
      </w:r>
    </w:p>
    <w:p w14:paraId="52BA31E0" w14:textId="77777777" w:rsidR="00375AC1" w:rsidRPr="0068689C" w:rsidRDefault="00375AC1">
      <w:pPr>
        <w:rPr>
          <w:lang w:val="en-US"/>
        </w:rPr>
      </w:pPr>
    </w:p>
    <w:sectPr w:rsidR="00375AC1" w:rsidRPr="0068689C" w:rsidSect="00B5612A">
      <w:pgSz w:w="11906" w:h="16838"/>
      <w:pgMar w:top="1440" w:right="1414" w:bottom="1440" w:left="1416" w:header="850" w:footer="992" w:gutter="0"/>
      <w:cols w:space="0"/>
      <w:noEndnote/>
      <w:docGrid w:charSpace="-214748364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 wne:kcmSecondary="0032">
      <wne:acd wne:acdName="acd0"/>
    </wne:keymap>
    <wne:keymap wne:kcmPrimary="0442" wne:kcmSecondary="0033">
      <wne:acd wne:acdName="acd1"/>
    </wne:keymap>
    <wne:keymap wne:kcmPrimary="044E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QAAAFAA" wne:acdName="acd0" wne:fciIndexBasedOn="0065"/>
    <wne:acd wne:argValue="AQAAAFEA" wne:acdName="acd1" wne:fciIndexBasedOn="0065"/>
    <wne:acd wne:argValue="AQAAAAAA" wne:acdName="acd2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proofState w:spelling="clean" w:grammar="clean"/>
  <w:doNotTrackFormatting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9C"/>
    <w:rsid w:val="00014E28"/>
    <w:rsid w:val="00042B62"/>
    <w:rsid w:val="00063E39"/>
    <w:rsid w:val="000E0767"/>
    <w:rsid w:val="001050DF"/>
    <w:rsid w:val="00116348"/>
    <w:rsid w:val="0018138A"/>
    <w:rsid w:val="001B5E0D"/>
    <w:rsid w:val="002031F7"/>
    <w:rsid w:val="00247DC1"/>
    <w:rsid w:val="0025020C"/>
    <w:rsid w:val="002A382F"/>
    <w:rsid w:val="0030553E"/>
    <w:rsid w:val="0031297F"/>
    <w:rsid w:val="00375AC1"/>
    <w:rsid w:val="00383076"/>
    <w:rsid w:val="0053685D"/>
    <w:rsid w:val="00541D34"/>
    <w:rsid w:val="00571339"/>
    <w:rsid w:val="005E4799"/>
    <w:rsid w:val="006215C1"/>
    <w:rsid w:val="0068689C"/>
    <w:rsid w:val="006D7EE2"/>
    <w:rsid w:val="007F1550"/>
    <w:rsid w:val="008E5DA9"/>
    <w:rsid w:val="00906244"/>
    <w:rsid w:val="009955BC"/>
    <w:rsid w:val="009B2DF9"/>
    <w:rsid w:val="009B78F4"/>
    <w:rsid w:val="009D01A6"/>
    <w:rsid w:val="00AC1485"/>
    <w:rsid w:val="00AC3798"/>
    <w:rsid w:val="00AC3F8D"/>
    <w:rsid w:val="00B51DED"/>
    <w:rsid w:val="00B5400C"/>
    <w:rsid w:val="00B81B03"/>
    <w:rsid w:val="00BE0E77"/>
    <w:rsid w:val="00BE599E"/>
    <w:rsid w:val="00C26DA7"/>
    <w:rsid w:val="00D61979"/>
    <w:rsid w:val="00D73109"/>
    <w:rsid w:val="00D733B0"/>
    <w:rsid w:val="00DC246B"/>
    <w:rsid w:val="00DD551F"/>
    <w:rsid w:val="00E1266D"/>
    <w:rsid w:val="00E87578"/>
    <w:rsid w:val="00EA0D41"/>
    <w:rsid w:val="00F1011F"/>
    <w:rsid w:val="00F104F3"/>
    <w:rsid w:val="00F2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262C"/>
  <w15:chartTrackingRefBased/>
  <w15:docId w15:val="{8AB32168-9E1B-43C5-9D01-D21CECA8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0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4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4F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1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1233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2021-11-28T16:31:00Z</dcterms:created>
  <dcterms:modified xsi:type="dcterms:W3CDTF">2021-11-28T16:31:00Z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iManage">
    <vt:lpwstr>ST\ASD\25104652.1</vt:lpwstr>
  </op:property>
  <op:property fmtid="{D5CDD505-2E9C-101B-9397-08002B2CF9AE}" pid="3" name="iManageMatterNumber">
    <vt:lpwstr>1041971</vt:lpwstr>
  </op:property>
  <op:property fmtid="{D5CDD505-2E9C-101B-9397-08002B2CF9AE}" pid="4" name="iManageDocNumber">
    <vt:lpwstr>25104652</vt:lpwstr>
  </op:property>
  <op:property fmtid="{D5CDD505-2E9C-101B-9397-08002B2CF9AE}" pid="5" name="iManageDocVersion">
    <vt:lpwstr>1</vt:lpwstr>
  </op:property>
</op:Properties>
</file>